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ГО «АЛЬЯНС.ГЛОБАЛ» оголошує конкурс на надання цільової благодійної допомоги ініціативним групам громадян, місцевим громадам та спільнотам - м. Київ та Київська область.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Дата оголошення: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.12.2022 року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Основна мета надання цільової благодійної допомоги: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підтримка місцевих ініціатив громадян та окремих громад для покращення їх добробуту в умовах війни та розвитку їх потенціалу для подальшої допомоги нужденним.</w:t>
      </w:r>
    </w:p>
    <w:p w:rsidR="00000000" w:rsidDel="00000000" w:rsidP="00000000" w:rsidRDefault="00000000" w:rsidRPr="00000000" w14:paraId="00000004">
      <w:pPr>
        <w:ind w:left="284" w:hanging="28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Завданнями надання цільової благодійної допомоги є:</w:t>
      </w:r>
    </w:p>
    <w:p w:rsidR="00000000" w:rsidDel="00000000" w:rsidP="00000000" w:rsidRDefault="00000000" w:rsidRPr="00000000" w14:paraId="00000005">
      <w:pPr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</w:t>
        <w:tab/>
        <w:t xml:space="preserve">ефективне згуртування та залучення представників громад та спільнот для вирішення їх нагальних гуманітарних потреб;</w:t>
      </w:r>
    </w:p>
    <w:p w:rsidR="00000000" w:rsidDel="00000000" w:rsidP="00000000" w:rsidRDefault="00000000" w:rsidRPr="00000000" w14:paraId="00000006">
      <w:pPr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</w:t>
        <w:tab/>
        <w:t xml:space="preserve">підтримка життєво важливих ініціатив команд представників громад та спільнот, які вирішують їх невідкладні гуманітарні потреби на місцевому рівні шляхом надання міні-грантів.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Розмір цільової благодійної допомоги: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Гранична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максимальна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сума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цільової благодійної допомоги до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155 000 гривень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Терміни проєкту: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До </w:t>
      </w:r>
      <w:r w:rsidDel="00000000" w:rsidR="00000000" w:rsidRPr="00000000">
        <w:rPr>
          <w:b w:val="1"/>
          <w:rtl w:val="0"/>
        </w:rPr>
        <w:t xml:space="preserve">07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01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Термін для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подачі заявок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До 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.01.23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Розгляд заявок і надання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цільової благодійної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допомоги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До 28.02.23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Крайній термін для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завершення діяльності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ініціативних груп щодо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вирішення проблеми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згідно заявок (в окремих випадках термін може бути подовжено до 4-х місяців) ;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До 28.02.23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–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Звітність ініціативних груп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перед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ГО «АЛЬЯНС.ГЛОБАЛ»;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До 28.02.23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–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Зустрічі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проєктної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команди з ініціативними групами після завершення діяльності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щодо вирішення проблеми.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Критерії відбору учасників для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отримання цільової благодійної допомоги: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Цільову благодійну допомогу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для швидкої відповіді на нагальні потреби ініціативних груп спільнот можуть отримати як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зареєстровані громадські об’єднання (ОГС), так і незареєстровані команди та громадські ініціативи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що утворюються на територіях, звільнених від окупації або в місцях перебування значної кількості внутрішньо переміщених осіб.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Ініціативні групи та громади можуть включати в себе людей, що потребують нагальної гуманітарної допомоги: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представники уразливих до ВІЛ груп (ЛВІН, ЛЖВ, СР, ЧСЧ, ЛГБТ),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жінки з дітьми,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багатодітні сім’ї,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внутрішньо переміщені особи (ВПО),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люди з обмеженими можливостями (особи з інвалідністю),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люди, що опинилися у складних життєвих обставинах, та інші.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Критерії відбору заявок від ініціативних груп громадян, громад та спільнот на фінансування: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Rule="auto"/>
        <w:ind w:lef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Актуальність проблеми.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Проблема для вирішення є нагальною та актуальною для громадян, громад та спільнот та/чи мешканців сіл, селищ, міст тощо;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Rule="auto"/>
        <w:ind w:lef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Термін вирішення проблеми.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Проблема, яка описана в заявці, повинна бути вирішена протягом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-2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місяців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до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28.02.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23)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(в окремих випадках термін може бути подовжено до 4-х місяців)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Rule="auto"/>
        <w:ind w:lef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Соціальний вплив.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Вигода від вирішення проблеми, запропонованої в заявці, має бути для багатьох представників громадян, громади чи спільноти та/чи мешканців сіл, селищ, міст тощо;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Rule="auto"/>
        <w:ind w:lef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Перспектива вирішення проблеми.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Заявка має містити чіткий план вирішення проблеми з конкретними термінами та відповідальними особами, реалістичний бюджет;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Rule="auto"/>
        <w:ind w:lef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Мотивація ініціативної групи спільноти.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Команда має бути зацікавлена в вирішенні проблеми і здатною реалізувати запропоновану ідею в життя в короткий термін.</w:t>
      </w:r>
    </w:p>
    <w:p w:rsidR="00000000" w:rsidDel="00000000" w:rsidP="00000000" w:rsidRDefault="00000000" w:rsidRPr="00000000" w14:paraId="00000020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Передбачені форми надання цільової благодійної допомоги: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Rule="auto"/>
        <w:ind w:lef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Підписання договору з представником/представницею громади чи спільнотою, якщо вона є юридично зареєстрованим громадським об’єднанням;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Rule="auto"/>
        <w:ind w:lef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Підписання договору з представником чи представницею ініціативної групи, громади чи спільноти, якщо об’єднання юридично не зареєстроване;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Rule="auto"/>
        <w:ind w:left="0" w:hanging="360"/>
        <w:rPr>
          <w:rFonts w:ascii="Calibri" w:cs="Calibri" w:eastAsia="Calibri" w:hAnsi="Calibri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Безпосередня оплата Благодійником за конкретні послуги та товари для вирішення проблеми ініціативної групи згідно наданих рахунків, накладних тощо. Зобов’язання сторін (Благодійника та ініціативної групи) залишаються такими самими, як і у випадку передачі грошових коштів ініціативній групі, єдиною відмінністю є те, що платником виступає  Благодійник.</w:t>
      </w:r>
    </w:p>
    <w:p w:rsidR="00000000" w:rsidDel="00000000" w:rsidP="00000000" w:rsidRDefault="00000000" w:rsidRPr="00000000" w14:paraId="00000025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Контроль за використанням цільової благодійної допомоги ініціативними групами:</w:t>
      </w:r>
    </w:p>
    <w:p w:rsidR="00000000" w:rsidDel="00000000" w:rsidP="00000000" w:rsidRDefault="00000000" w:rsidRPr="00000000" w14:paraId="00000027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Представники ініціативних груп беруть на себе відповідальність за моніторинг та контроль надання послуг для виконання заявки.</w:t>
      </w:r>
    </w:p>
    <w:p w:rsidR="00000000" w:rsidDel="00000000" w:rsidP="00000000" w:rsidRDefault="00000000" w:rsidRPr="00000000" w14:paraId="00000028">
      <w:pPr>
        <w:spacing w:after="0" w:lineRule="auto"/>
        <w:rPr>
          <w:rFonts w:ascii="Calibri" w:cs="Calibri" w:eastAsia="Calibri" w:hAnsi="Calibri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Конкурсна документація:</w:t>
      </w:r>
    </w:p>
    <w:p w:rsidR="00000000" w:rsidDel="00000000" w:rsidP="00000000" w:rsidRDefault="00000000" w:rsidRPr="00000000" w14:paraId="0000002A">
      <w:pPr>
        <w:spacing w:after="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Заявку (Додаток №1) від ініціативної групи на отримання цільової благодійної допомоги надсилати листом з темою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Заявка на конкурс міні-грантів “назва ініціативною групи”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на адресу: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bhorobets@ga.net.ua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та 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highlight w:val="white"/>
            <w:u w:val="single"/>
            <w:rtl w:val="0"/>
          </w:rPr>
          <w:t xml:space="preserve">thoncharov@ga.net.ua</w:t>
        </w:r>
      </w:hyperlink>
      <w:r w:rsidDel="00000000" w:rsidR="00000000" w:rsidRPr="00000000">
        <w:rPr>
          <w:rFonts w:ascii="Calibri" w:cs="Calibri" w:eastAsia="Calibri" w:hAnsi="Calibri"/>
          <w:color w:val="0563c1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в термін до </w:t>
      </w:r>
      <w:r w:rsidDel="00000000" w:rsidR="00000000" w:rsidRPr="00000000">
        <w:rPr>
          <w:b w:val="1"/>
          <w:highlight w:val="white"/>
          <w:rtl w:val="0"/>
        </w:rPr>
        <w:t xml:space="preserve">07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.</w:t>
      </w:r>
      <w:r w:rsidDel="00000000" w:rsidR="00000000" w:rsidRPr="00000000">
        <w:rPr>
          <w:b w:val="1"/>
          <w:highlight w:val="white"/>
          <w:rtl w:val="0"/>
        </w:rPr>
        <w:t xml:space="preserve">01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.2</w:t>
      </w:r>
      <w:r w:rsidDel="00000000" w:rsidR="00000000" w:rsidRPr="00000000">
        <w:rPr>
          <w:b w:val="1"/>
          <w:highlight w:val="whit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Розгляд заявок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конкурсною комісією та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рішення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щодо переможців конкурсу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приймається протягом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3-5 робочих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днів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Шаблони документації для отримання цільової благодійної допомоги:</w:t>
      </w:r>
    </w:p>
    <w:p w:rsidR="00000000" w:rsidDel="00000000" w:rsidP="00000000" w:rsidRDefault="00000000" w:rsidRPr="00000000" w14:paraId="0000002F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Угода з ініціативною групою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Додатки до угоди: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lineRule="auto"/>
        <w:ind w:left="426" w:hanging="36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Опис Проє</w:t>
      </w:r>
      <w:r w:rsidDel="00000000" w:rsidR="00000000" w:rsidRPr="00000000">
        <w:rPr>
          <w:highlight w:val="white"/>
          <w:rtl w:val="0"/>
        </w:rPr>
        <w:t xml:space="preserve">кту,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Rule="auto"/>
        <w:ind w:left="426" w:hanging="36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Б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юджет Проє</w:t>
      </w:r>
      <w:r w:rsidDel="00000000" w:rsidR="00000000" w:rsidRPr="00000000">
        <w:rPr>
          <w:highlight w:val="white"/>
          <w:rtl w:val="0"/>
        </w:rPr>
        <w:t xml:space="preserve">кту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lineRule="auto"/>
        <w:ind w:left="426" w:hanging="36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Порядок ведення обліку та процедура закупівель,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Rule="auto"/>
        <w:ind w:left="426" w:hanging="36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Форма описового звіту щодо використання коштів цільової благодійної допомоги,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Rule="auto"/>
        <w:ind w:left="426" w:hanging="36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Форма фінансового звіту щодо використання коштів цільової благодійної допомоги.</w:t>
      </w:r>
    </w:p>
    <w:p w:rsidR="00000000" w:rsidDel="00000000" w:rsidP="00000000" w:rsidRDefault="00000000" w:rsidRPr="00000000" w14:paraId="00000037">
      <w:pPr>
        <w:spacing w:after="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Перелічені документи за посиланням: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Шаблони документації для отримання цільової благодійної допомоги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Calibri" w:cs="Calibri" w:eastAsia="Calibri" w:hAnsi="Calibri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Скарги та пропозиції надсилати на адресу: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inf@ga.net.ua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25F2"/>
    <w:rPr>
      <w:lang w:eastAsia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semiHidden w:val="1"/>
    <w:unhideWhenUsed w:val="1"/>
    <w:rsid w:val="00A925F2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 w:val="1"/>
    <w:unhideWhenUsed w:val="1"/>
    <w:rsid w:val="00A925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A925F2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A925F2"/>
    <w:rPr>
      <w:rFonts w:ascii="Calibri" w:cs="Calibri" w:eastAsia="Calibri" w:hAnsi="Calibri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A925F2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A925F2"/>
    <w:rPr>
      <w:rFonts w:ascii="Calibri" w:cs="Calibri" w:eastAsia="Calibri" w:hAnsi="Calibri"/>
      <w:b w:val="1"/>
      <w:bCs w:val="1"/>
      <w:sz w:val="20"/>
      <w:szCs w:val="20"/>
      <w:lang w:eastAsia="uk-UA"/>
    </w:rPr>
  </w:style>
  <w:style w:type="paragraph" w:styleId="aa">
    <w:name w:val="Balloon Text"/>
    <w:basedOn w:val="a"/>
    <w:link w:val="ab"/>
    <w:uiPriority w:val="99"/>
    <w:semiHidden w:val="1"/>
    <w:unhideWhenUsed w:val="1"/>
    <w:rsid w:val="00A925F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A925F2"/>
    <w:rPr>
      <w:rFonts w:ascii="Segoe UI" w:cs="Segoe UI" w:eastAsia="Calibri" w:hAnsi="Segoe UI"/>
      <w:sz w:val="18"/>
      <w:szCs w:val="18"/>
      <w:lang w:eastAsia="uk-UA"/>
    </w:rPr>
  </w:style>
  <w:style w:type="paragraph" w:styleId="ac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nf@ga.net.ua" TargetMode="External"/><Relationship Id="rId9" Type="http://schemas.openxmlformats.org/officeDocument/2006/relationships/hyperlink" Target="https://drive.google.com/drive/folders/1jfAa9uMoLTy1MPsN8PQtGfwTFuyP3zY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horobets@ga.net.ua" TargetMode="External"/><Relationship Id="rId8" Type="http://schemas.openxmlformats.org/officeDocument/2006/relationships/hyperlink" Target="mailto:thoncharov@ga.net.u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IckWd+8wKf+gNUEq+E++mVaW/Q==">AMUW2mVaQlQjKV4q5Ow2u2LJrxXpEBDcvJEnU8Cq/Xdm7F+U3Zd4RMpiPktLM6zaB64gElaAj42Iiw51eGD+U6tvHE5fF92Gkllul7TF6qVvCmaiyabXGK0S5Djf+eC24mF8WprekWPp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2022-12-07T15:50:00Z</dcterms:created>
  <dc:creator>Bohdan</dc:creator>
</cp:coreProperties>
</file>